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DE3E" w14:textId="77777777" w:rsidR="003C6836" w:rsidRDefault="003C6836" w:rsidP="003F73D0">
      <w:pPr>
        <w:pStyle w:val="Heading1"/>
      </w:pPr>
      <w:r>
        <w:t xml:space="preserve">Supply </w:t>
      </w:r>
      <w:r w:rsidRPr="00036476">
        <w:t>Opportunities</w:t>
      </w:r>
      <w:r>
        <w:t xml:space="preserve"> in </w:t>
      </w:r>
      <w:r w:rsidR="003F73D0">
        <w:t>Central and Eastern Europe</w:t>
      </w:r>
    </w:p>
    <w:p w14:paraId="492CA460" w14:textId="77777777" w:rsidR="003C6836" w:rsidRPr="003C6836" w:rsidRDefault="003C6836" w:rsidP="003C6836"/>
    <w:p w14:paraId="50AAC506" w14:textId="3FB2C327" w:rsidR="003F73D0" w:rsidRDefault="005A6DDB" w:rsidP="003F73D0">
      <w:pPr>
        <w:ind w:left="-90"/>
      </w:pPr>
      <w:r w:rsidRPr="005A6DDB">
        <w:t>C</w:t>
      </w:r>
      <w:r w:rsidR="00C61081">
        <w:t xml:space="preserve">entral and </w:t>
      </w:r>
      <w:r w:rsidRPr="005A6DDB">
        <w:t>E</w:t>
      </w:r>
      <w:r w:rsidR="00C61081">
        <w:t xml:space="preserve">astern </w:t>
      </w:r>
      <w:r w:rsidRPr="005A6DDB">
        <w:t>E</w:t>
      </w:r>
      <w:r w:rsidR="00C61081">
        <w:t>urope</w:t>
      </w:r>
      <w:r w:rsidR="00D641E8">
        <w:t xml:space="preserve"> (CEE)</w:t>
      </w:r>
      <w:r w:rsidR="00EA7678">
        <w:t xml:space="preserve"> </w:t>
      </w:r>
      <w:r w:rsidR="005C350A">
        <w:t xml:space="preserve">is home to some of the most competitive economies in Europe. The </w:t>
      </w:r>
      <w:r w:rsidRPr="005A6DDB">
        <w:t xml:space="preserve">markets are </w:t>
      </w:r>
      <w:r w:rsidRPr="00D42DE5">
        <w:t>well integrated in European supply chains</w:t>
      </w:r>
      <w:r w:rsidRPr="005A6DDB">
        <w:t xml:space="preserve"> and many local companies boast significant experience in producing</w:t>
      </w:r>
      <w:r w:rsidR="00D641E8">
        <w:t xml:space="preserve"> goods</w:t>
      </w:r>
      <w:r w:rsidRPr="005A6DDB">
        <w:t xml:space="preserve"> for </w:t>
      </w:r>
      <w:r w:rsidR="00687BC4">
        <w:t xml:space="preserve">worldwide </w:t>
      </w:r>
      <w:r w:rsidRPr="005A6DDB">
        <w:t>export market</w:t>
      </w:r>
      <w:r w:rsidR="00BB644A">
        <w:t>s.</w:t>
      </w:r>
      <w:r w:rsidR="00C61081" w:rsidRPr="005A6DDB">
        <w:t xml:space="preserve"> </w:t>
      </w:r>
      <w:r w:rsidR="00687BC4">
        <w:t>T</w:t>
      </w:r>
      <w:r w:rsidRPr="005A6DDB">
        <w:t>his region has enjoyed an outstanding level of economic development</w:t>
      </w:r>
      <w:r w:rsidR="00BB644A">
        <w:t>, growing faster than nearly all other economies outside of Asia</w:t>
      </w:r>
      <w:r w:rsidR="00D641E8">
        <w:t>. T</w:t>
      </w:r>
      <w:r w:rsidRPr="005A6DDB">
        <w:t>he leading CEE economies, namely the Czech Republic and Poland, are now on par with those of several Western European countries</w:t>
      </w:r>
      <w:r>
        <w:t xml:space="preserve">. </w:t>
      </w:r>
      <w:r w:rsidR="003F73D0">
        <w:t xml:space="preserve">The ongoing global supply chain crisis and shortage of materials </w:t>
      </w:r>
      <w:r w:rsidR="00254E6A">
        <w:t>have</w:t>
      </w:r>
      <w:r w:rsidR="00EA7678">
        <w:t xml:space="preserve"> led</w:t>
      </w:r>
      <w:r w:rsidR="003F73D0">
        <w:t xml:space="preserve"> many U</w:t>
      </w:r>
      <w:r w:rsidR="00BB644A">
        <w:t>.</w:t>
      </w:r>
      <w:r w:rsidR="003F73D0">
        <w:t>S</w:t>
      </w:r>
      <w:r w:rsidR="00BB644A">
        <w:t>.</w:t>
      </w:r>
      <w:r w:rsidR="003F73D0">
        <w:t xml:space="preserve"> and European companies to consider new nearshoring/sourcing venues as an alternative to Asia, which puts the entire </w:t>
      </w:r>
      <w:r w:rsidR="00D641E8">
        <w:t xml:space="preserve">CEE </w:t>
      </w:r>
      <w:r w:rsidR="003F73D0">
        <w:t>region into the spotlight.</w:t>
      </w:r>
    </w:p>
    <w:p w14:paraId="42556254" w14:textId="34C8A98C" w:rsidR="003F73D0" w:rsidRDefault="003F73D0" w:rsidP="003F73D0">
      <w:pPr>
        <w:ind w:left="-90"/>
      </w:pPr>
    </w:p>
    <w:p w14:paraId="111D3A60" w14:textId="499EC012" w:rsidR="00BB644A" w:rsidRDefault="00BB644A" w:rsidP="003F73D0">
      <w:pPr>
        <w:ind w:left="-90"/>
      </w:pPr>
      <w:r w:rsidRPr="00BB644A">
        <w:t xml:space="preserve">This report maps the supply chain capabilities and sourcing strengths of three CEE countries </w:t>
      </w:r>
      <w:r>
        <w:t>–</w:t>
      </w:r>
      <w:r w:rsidRPr="00BB644A">
        <w:t xml:space="preserve"> the</w:t>
      </w:r>
      <w:r>
        <w:t xml:space="preserve"> </w:t>
      </w:r>
      <w:r w:rsidRPr="00BB644A">
        <w:t>Czech Republic, Poland, and Romania – and delivers detail</w:t>
      </w:r>
      <w:r w:rsidR="006F61CC">
        <w:t>ed</w:t>
      </w:r>
      <w:r w:rsidRPr="00BB644A">
        <w:t xml:space="preserve"> information on key sectors.</w:t>
      </w:r>
      <w:r>
        <w:t xml:space="preserve"> </w:t>
      </w:r>
      <w:r w:rsidR="00EA7678">
        <w:t xml:space="preserve">The Czech Republic ranks first in manufacturing competitiveness for the region and its economy is driven by a strong industrial base focused on exporting. </w:t>
      </w:r>
      <w:r w:rsidR="00D42DE5">
        <w:t>Exports from the country were strong in the years prior to COVID-19 and t</w:t>
      </w:r>
      <w:r w:rsidR="00EA7678">
        <w:t xml:space="preserve">he Czech Republic and Poland remain this region’s most competitive economies. Poland is the fifth-largest manufacturing country in the EU and is continuing to grow, with manufacturing contributing over a fifth of the country’s GDP. </w:t>
      </w:r>
      <w:r w:rsidR="00D42DE5">
        <w:t xml:space="preserve">Demand is strong for new and innovative manufacturing technologies. </w:t>
      </w:r>
      <w:r w:rsidR="00EA7678">
        <w:t xml:space="preserve">Romania recorded some of the highest rates of growth in Europe and has become a low-cost alternative for labor-intensive and export-oriented manufacturing. </w:t>
      </w:r>
      <w:r w:rsidR="00D42DE5">
        <w:t>Romania</w:t>
      </w:r>
      <w:r w:rsidR="00D641E8">
        <w:t xml:space="preserve"> also</w:t>
      </w:r>
      <w:r w:rsidR="00D42DE5">
        <w:t xml:space="preserve"> has the potential to become the center of the Central and Southeast European manufacturing industries. </w:t>
      </w:r>
    </w:p>
    <w:p w14:paraId="31D6CD18" w14:textId="77777777" w:rsidR="003F73D0" w:rsidRDefault="003F73D0" w:rsidP="003F73D0">
      <w:pPr>
        <w:ind w:left="-90"/>
      </w:pPr>
    </w:p>
    <w:p w14:paraId="1886E1E5" w14:textId="5340CFB7" w:rsidR="003C6836" w:rsidRDefault="003F73D0" w:rsidP="003F73D0">
      <w:pPr>
        <w:ind w:left="-90"/>
      </w:pPr>
      <w:r>
        <w:t>The following table provides Virginia companies</w:t>
      </w:r>
      <w:r w:rsidR="00C804E9">
        <w:t xml:space="preserve"> with </w:t>
      </w:r>
      <w:r>
        <w:t>an indication of which country to primarily turn to for which types of products, services, and materials; the strongest sectors within each country are marked with an “x”.</w:t>
      </w:r>
    </w:p>
    <w:p w14:paraId="0994CF4F" w14:textId="77777777" w:rsidR="003F73D0" w:rsidRDefault="003F73D0" w:rsidP="003F73D0">
      <w:pPr>
        <w:ind w:left="-90"/>
      </w:pPr>
    </w:p>
    <w:p w14:paraId="2CE1B742" w14:textId="77777777" w:rsidR="003F73D0" w:rsidRDefault="003F73D0" w:rsidP="003F73D0">
      <w:pPr>
        <w:pStyle w:val="Heading4"/>
        <w:ind w:left="-90"/>
      </w:pPr>
      <w:r w:rsidRPr="003F73D0">
        <w:t>Comparative analysis: Leading sectors for sourcing, by country</w:t>
      </w:r>
    </w:p>
    <w:tbl>
      <w:tblPr>
        <w:tblW w:w="10221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9"/>
        <w:gridCol w:w="1887"/>
        <w:gridCol w:w="1887"/>
        <w:gridCol w:w="1888"/>
      </w:tblGrid>
      <w:tr w:rsidR="00036476" w:rsidRPr="00D24BBB" w14:paraId="5B4C7E0E" w14:textId="77777777" w:rsidTr="00036476">
        <w:trPr>
          <w:trHeight w:val="423"/>
        </w:trPr>
        <w:tc>
          <w:tcPr>
            <w:tcW w:w="4559" w:type="dxa"/>
            <w:shd w:val="clear" w:color="auto" w:fill="003865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40233C" w14:textId="77777777" w:rsidR="003F73D0" w:rsidRPr="00D24BBB" w:rsidRDefault="003F73D0" w:rsidP="003F73D0">
            <w:pPr>
              <w:ind w:left="75" w:right="57"/>
              <w:rPr>
                <w:b/>
                <w:bCs/>
                <w:lang w:eastAsia="es-ES"/>
              </w:rPr>
            </w:pPr>
            <w:r w:rsidRPr="00D24BBB">
              <w:rPr>
                <w:b/>
                <w:bCs/>
                <w:lang w:eastAsia="es-ES"/>
              </w:rPr>
              <w:t>Sector</w:t>
            </w:r>
          </w:p>
        </w:tc>
        <w:tc>
          <w:tcPr>
            <w:tcW w:w="1887" w:type="dxa"/>
            <w:shd w:val="clear" w:color="auto" w:fill="003865" w:themeFill="accent1"/>
            <w:vAlign w:val="center"/>
          </w:tcPr>
          <w:p w14:paraId="3994A0D8" w14:textId="77777777" w:rsidR="003F73D0" w:rsidRPr="00D24BBB" w:rsidRDefault="003F73D0" w:rsidP="003F73D0">
            <w:pPr>
              <w:ind w:left="-90" w:right="57"/>
              <w:jc w:val="center"/>
              <w:rPr>
                <w:b/>
                <w:bCs/>
                <w:lang w:eastAsia="es-ES"/>
              </w:rPr>
            </w:pPr>
            <w:r w:rsidRPr="00D24BBB">
              <w:rPr>
                <w:b/>
                <w:bCs/>
                <w:lang w:eastAsia="es-ES"/>
              </w:rPr>
              <w:t>Czech Republic</w:t>
            </w:r>
          </w:p>
        </w:tc>
        <w:tc>
          <w:tcPr>
            <w:tcW w:w="1887" w:type="dxa"/>
            <w:shd w:val="clear" w:color="auto" w:fill="003865" w:themeFill="accent1"/>
            <w:vAlign w:val="center"/>
          </w:tcPr>
          <w:p w14:paraId="15EB5577" w14:textId="77777777" w:rsidR="003F73D0" w:rsidRPr="00D24BBB" w:rsidRDefault="003F73D0" w:rsidP="003F73D0">
            <w:pPr>
              <w:ind w:left="-90" w:right="57"/>
              <w:jc w:val="center"/>
              <w:rPr>
                <w:b/>
                <w:bCs/>
                <w:lang w:eastAsia="es-ES"/>
              </w:rPr>
            </w:pPr>
            <w:r w:rsidRPr="00D24BBB">
              <w:rPr>
                <w:b/>
                <w:bCs/>
                <w:lang w:eastAsia="es-ES"/>
              </w:rPr>
              <w:t>Poland</w:t>
            </w:r>
          </w:p>
        </w:tc>
        <w:tc>
          <w:tcPr>
            <w:tcW w:w="1888" w:type="dxa"/>
            <w:shd w:val="clear" w:color="auto" w:fill="003865" w:themeFill="accent1"/>
            <w:vAlign w:val="center"/>
          </w:tcPr>
          <w:p w14:paraId="003A654A" w14:textId="77777777" w:rsidR="003F73D0" w:rsidRPr="00D24BBB" w:rsidRDefault="003F73D0" w:rsidP="003F73D0">
            <w:pPr>
              <w:ind w:left="-90" w:right="57"/>
              <w:jc w:val="center"/>
              <w:rPr>
                <w:b/>
                <w:bCs/>
                <w:lang w:eastAsia="es-ES"/>
              </w:rPr>
            </w:pPr>
            <w:r w:rsidRPr="00D24BBB">
              <w:rPr>
                <w:b/>
                <w:bCs/>
                <w:lang w:eastAsia="es-ES"/>
              </w:rPr>
              <w:t>Romania</w:t>
            </w:r>
          </w:p>
        </w:tc>
      </w:tr>
      <w:tr w:rsidR="003F73D0" w:rsidRPr="00D24BBB" w14:paraId="69E748BD" w14:textId="77777777" w:rsidTr="003F73D0">
        <w:trPr>
          <w:trHeight w:val="217"/>
        </w:trPr>
        <w:tc>
          <w:tcPr>
            <w:tcW w:w="455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8CC571" w14:textId="77777777" w:rsidR="003F73D0" w:rsidRPr="00D24BBB" w:rsidRDefault="003F73D0" w:rsidP="003F73D0">
            <w:pPr>
              <w:ind w:left="75" w:right="57"/>
              <w:rPr>
                <w:lang w:eastAsia="es-ES"/>
              </w:rPr>
            </w:pPr>
            <w:r w:rsidRPr="00D24BBB">
              <w:rPr>
                <w:lang w:eastAsia="es-ES"/>
              </w:rPr>
              <w:t>Automotive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37F468F" w14:textId="77777777" w:rsidR="003F73D0" w:rsidRPr="00D24BBB" w:rsidRDefault="003F73D0" w:rsidP="003F73D0">
            <w:pPr>
              <w:ind w:left="-90" w:right="57"/>
              <w:jc w:val="center"/>
              <w:rPr>
                <w:lang w:eastAsia="es-ES"/>
              </w:rPr>
            </w:pPr>
            <w:r w:rsidRPr="00D24BBB">
              <w:rPr>
                <w:lang w:eastAsia="es-ES"/>
              </w:rPr>
              <w:t>x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4C2B2DD" w14:textId="77777777" w:rsidR="003F73D0" w:rsidRPr="00D24BBB" w:rsidRDefault="003F73D0" w:rsidP="003F73D0">
            <w:pPr>
              <w:ind w:left="-90" w:right="57"/>
              <w:jc w:val="center"/>
              <w:rPr>
                <w:lang w:eastAsia="es-ES"/>
              </w:rPr>
            </w:pPr>
            <w:r w:rsidRPr="00D24BBB">
              <w:rPr>
                <w:lang w:eastAsia="es-ES"/>
              </w:rPr>
              <w:t>x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4C54BD19" w14:textId="77777777" w:rsidR="003F73D0" w:rsidRPr="00D24BBB" w:rsidRDefault="003F73D0" w:rsidP="003F73D0">
            <w:pPr>
              <w:ind w:left="-90" w:right="57"/>
              <w:jc w:val="center"/>
              <w:rPr>
                <w:lang w:eastAsia="es-ES"/>
              </w:rPr>
            </w:pPr>
            <w:r w:rsidRPr="00D24BBB">
              <w:rPr>
                <w:lang w:eastAsia="es-ES"/>
              </w:rPr>
              <w:t>x</w:t>
            </w:r>
          </w:p>
        </w:tc>
      </w:tr>
      <w:tr w:rsidR="003F73D0" w:rsidRPr="00D24BBB" w14:paraId="339F14FA" w14:textId="77777777" w:rsidTr="003F73D0">
        <w:trPr>
          <w:trHeight w:val="205"/>
        </w:trPr>
        <w:tc>
          <w:tcPr>
            <w:tcW w:w="455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DE60A3" w14:textId="77777777" w:rsidR="003F73D0" w:rsidRPr="00D24BBB" w:rsidRDefault="003F73D0" w:rsidP="003F73D0">
            <w:pPr>
              <w:ind w:left="75" w:right="57"/>
              <w:rPr>
                <w:lang w:eastAsia="es-ES"/>
              </w:rPr>
            </w:pPr>
            <w:r w:rsidRPr="00D24BBB">
              <w:rPr>
                <w:lang w:eastAsia="es-ES"/>
              </w:rPr>
              <w:t>Chemical</w:t>
            </w:r>
            <w:r>
              <w:rPr>
                <w:lang w:eastAsia="es-ES"/>
              </w:rPr>
              <w:t xml:space="preserve"> industry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62E2F39" w14:textId="77777777" w:rsidR="003F73D0" w:rsidRPr="00D24BBB" w:rsidRDefault="003F73D0" w:rsidP="003F73D0">
            <w:pPr>
              <w:ind w:left="-90" w:right="57"/>
              <w:jc w:val="center"/>
              <w:rPr>
                <w:lang w:eastAsia="es-ES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24D667AA" w14:textId="77777777" w:rsidR="003F73D0" w:rsidRPr="00D24BBB" w:rsidRDefault="003F73D0" w:rsidP="003F73D0">
            <w:pPr>
              <w:ind w:left="-90" w:right="57"/>
              <w:jc w:val="center"/>
              <w:rPr>
                <w:lang w:eastAsia="es-ES"/>
              </w:rPr>
            </w:pPr>
            <w:r w:rsidRPr="00D24BBB">
              <w:rPr>
                <w:lang w:eastAsia="es-ES"/>
              </w:rPr>
              <w:t>x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5053A2F3" w14:textId="77777777" w:rsidR="003F73D0" w:rsidRPr="00D24BBB" w:rsidRDefault="003F73D0" w:rsidP="003F73D0">
            <w:pPr>
              <w:ind w:left="-90" w:right="57"/>
              <w:jc w:val="center"/>
              <w:rPr>
                <w:lang w:eastAsia="es-ES"/>
              </w:rPr>
            </w:pPr>
          </w:p>
        </w:tc>
      </w:tr>
      <w:tr w:rsidR="003F73D0" w:rsidRPr="00D24BBB" w14:paraId="05B76616" w14:textId="77777777" w:rsidTr="003F73D0">
        <w:trPr>
          <w:trHeight w:val="217"/>
        </w:trPr>
        <w:tc>
          <w:tcPr>
            <w:tcW w:w="455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F48658" w14:textId="77777777" w:rsidR="003F73D0" w:rsidRPr="00D24BBB" w:rsidRDefault="003F73D0" w:rsidP="003F73D0">
            <w:pPr>
              <w:ind w:left="75" w:right="57"/>
              <w:rPr>
                <w:lang w:eastAsia="es-ES"/>
              </w:rPr>
            </w:pPr>
            <w:r w:rsidRPr="00D24BBB">
              <w:rPr>
                <w:lang w:eastAsia="es-ES"/>
              </w:rPr>
              <w:t>Electronics and electrical engineering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7D2E1C4" w14:textId="77777777" w:rsidR="003F73D0" w:rsidRPr="00D24BBB" w:rsidRDefault="003F73D0" w:rsidP="003F73D0">
            <w:pPr>
              <w:ind w:left="-90" w:right="57"/>
              <w:jc w:val="center"/>
              <w:rPr>
                <w:lang w:eastAsia="es-ES"/>
              </w:rPr>
            </w:pPr>
            <w:r w:rsidRPr="00D24BBB">
              <w:rPr>
                <w:lang w:eastAsia="es-ES"/>
              </w:rPr>
              <w:t>x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02C0986" w14:textId="77777777" w:rsidR="003F73D0" w:rsidRPr="00D24BBB" w:rsidRDefault="003F73D0" w:rsidP="003F73D0">
            <w:pPr>
              <w:ind w:left="-90" w:right="57"/>
              <w:jc w:val="center"/>
              <w:rPr>
                <w:lang w:eastAsia="es-ES"/>
              </w:rPr>
            </w:pPr>
            <w:r w:rsidRPr="00D24BBB">
              <w:rPr>
                <w:lang w:eastAsia="es-ES"/>
              </w:rPr>
              <w:t>x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4476340B" w14:textId="77777777" w:rsidR="003F73D0" w:rsidRPr="00D24BBB" w:rsidRDefault="003F73D0" w:rsidP="003F73D0">
            <w:pPr>
              <w:ind w:left="-90"/>
              <w:jc w:val="center"/>
              <w:rPr>
                <w:lang w:eastAsia="es-ES"/>
              </w:rPr>
            </w:pPr>
            <w:r w:rsidRPr="00D24BBB">
              <w:rPr>
                <w:lang w:eastAsia="es-ES"/>
              </w:rPr>
              <w:t>x</w:t>
            </w:r>
          </w:p>
        </w:tc>
      </w:tr>
      <w:tr w:rsidR="003F73D0" w:rsidRPr="00D24BBB" w14:paraId="02E46165" w14:textId="77777777" w:rsidTr="003F73D0">
        <w:trPr>
          <w:trHeight w:val="205"/>
        </w:trPr>
        <w:tc>
          <w:tcPr>
            <w:tcW w:w="455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D41688" w14:textId="77777777" w:rsidR="003F73D0" w:rsidRPr="00D24BBB" w:rsidRDefault="003F73D0" w:rsidP="003F73D0">
            <w:pPr>
              <w:ind w:left="75" w:right="57"/>
              <w:rPr>
                <w:lang w:eastAsia="es-ES"/>
              </w:rPr>
            </w:pPr>
            <w:r w:rsidRPr="00D24BBB">
              <w:rPr>
                <w:lang w:eastAsia="es-ES"/>
              </w:rPr>
              <w:t>Environmental technologies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4E71569E" w14:textId="77777777" w:rsidR="003F73D0" w:rsidRPr="00D24BBB" w:rsidRDefault="003F73D0" w:rsidP="003F73D0">
            <w:pPr>
              <w:ind w:left="-90" w:right="57"/>
              <w:jc w:val="center"/>
              <w:rPr>
                <w:lang w:eastAsia="es-ES"/>
              </w:rPr>
            </w:pPr>
            <w:r w:rsidRPr="00D24BBB">
              <w:rPr>
                <w:lang w:eastAsia="es-ES"/>
              </w:rPr>
              <w:t>x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6D14C4DC" w14:textId="77777777" w:rsidR="003F73D0" w:rsidRPr="00D24BBB" w:rsidRDefault="003F73D0" w:rsidP="003F73D0">
            <w:pPr>
              <w:ind w:left="-90" w:right="57"/>
              <w:jc w:val="center"/>
              <w:rPr>
                <w:lang w:eastAsia="es-ES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14:paraId="50D1277A" w14:textId="77777777" w:rsidR="003F73D0" w:rsidRPr="00D24BBB" w:rsidRDefault="003F73D0" w:rsidP="003F73D0">
            <w:pPr>
              <w:ind w:left="-90" w:right="57"/>
              <w:jc w:val="center"/>
              <w:rPr>
                <w:lang w:eastAsia="es-ES"/>
              </w:rPr>
            </w:pPr>
          </w:p>
        </w:tc>
      </w:tr>
      <w:tr w:rsidR="003F73D0" w:rsidRPr="00D24BBB" w14:paraId="288B0D23" w14:textId="77777777" w:rsidTr="003F73D0">
        <w:trPr>
          <w:trHeight w:val="217"/>
        </w:trPr>
        <w:tc>
          <w:tcPr>
            <w:tcW w:w="455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790CA7" w14:textId="77777777" w:rsidR="003F73D0" w:rsidRPr="00D24BBB" w:rsidRDefault="003F73D0" w:rsidP="003F73D0">
            <w:pPr>
              <w:ind w:left="75" w:right="57"/>
              <w:rPr>
                <w:lang w:eastAsia="es-ES"/>
              </w:rPr>
            </w:pPr>
            <w:r w:rsidRPr="00D24BBB">
              <w:rPr>
                <w:lang w:eastAsia="es-ES"/>
              </w:rPr>
              <w:t>Food and beverages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4E7158C" w14:textId="77777777" w:rsidR="003F73D0" w:rsidRPr="00D24BBB" w:rsidRDefault="003F73D0" w:rsidP="003F73D0">
            <w:pPr>
              <w:ind w:left="-90" w:right="57"/>
              <w:jc w:val="center"/>
              <w:rPr>
                <w:lang w:eastAsia="es-ES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40327327" w14:textId="77777777" w:rsidR="003F73D0" w:rsidRPr="00D24BBB" w:rsidRDefault="003F73D0" w:rsidP="003F73D0">
            <w:pPr>
              <w:ind w:left="-90" w:right="57"/>
              <w:jc w:val="center"/>
              <w:rPr>
                <w:lang w:eastAsia="es-ES"/>
              </w:rPr>
            </w:pPr>
            <w:r w:rsidRPr="00D24BBB">
              <w:rPr>
                <w:lang w:eastAsia="es-ES"/>
              </w:rPr>
              <w:t>x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6A786A18" w14:textId="77777777" w:rsidR="003F73D0" w:rsidRPr="00D24BBB" w:rsidRDefault="003F73D0" w:rsidP="003F73D0">
            <w:pPr>
              <w:ind w:left="-90" w:right="57"/>
              <w:jc w:val="center"/>
              <w:rPr>
                <w:lang w:eastAsia="es-ES"/>
              </w:rPr>
            </w:pPr>
          </w:p>
        </w:tc>
      </w:tr>
      <w:tr w:rsidR="003F73D0" w:rsidRPr="00D24BBB" w14:paraId="2B178499" w14:textId="77777777" w:rsidTr="003F73D0">
        <w:trPr>
          <w:trHeight w:val="205"/>
        </w:trPr>
        <w:tc>
          <w:tcPr>
            <w:tcW w:w="455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83B933" w14:textId="77777777" w:rsidR="003F73D0" w:rsidRPr="00D24BBB" w:rsidRDefault="003F73D0" w:rsidP="003F73D0">
            <w:pPr>
              <w:ind w:left="75" w:right="57"/>
              <w:rPr>
                <w:lang w:eastAsia="es-ES"/>
              </w:rPr>
            </w:pPr>
            <w:r w:rsidRPr="00D24BBB">
              <w:rPr>
                <w:lang w:eastAsia="es-ES"/>
              </w:rPr>
              <w:t>Furniture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4D64D04A" w14:textId="77777777" w:rsidR="003F73D0" w:rsidRPr="00D24BBB" w:rsidRDefault="003F73D0" w:rsidP="003F73D0">
            <w:pPr>
              <w:ind w:left="-90" w:right="57"/>
              <w:jc w:val="center"/>
              <w:rPr>
                <w:lang w:eastAsia="es-ES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2F977CFA" w14:textId="77777777" w:rsidR="003F73D0" w:rsidRPr="00D24BBB" w:rsidRDefault="003F73D0" w:rsidP="003F73D0">
            <w:pPr>
              <w:ind w:left="-90" w:right="57"/>
              <w:jc w:val="center"/>
              <w:rPr>
                <w:lang w:eastAsia="es-ES"/>
              </w:rPr>
            </w:pPr>
            <w:r w:rsidRPr="00D24BBB">
              <w:rPr>
                <w:lang w:eastAsia="es-ES"/>
              </w:rPr>
              <w:t>x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61A25158" w14:textId="77777777" w:rsidR="003F73D0" w:rsidRPr="00D24BBB" w:rsidRDefault="003F73D0" w:rsidP="003F73D0">
            <w:pPr>
              <w:ind w:left="-90" w:right="57"/>
              <w:jc w:val="center"/>
              <w:rPr>
                <w:lang w:eastAsia="es-ES"/>
              </w:rPr>
            </w:pPr>
          </w:p>
        </w:tc>
      </w:tr>
      <w:tr w:rsidR="003F73D0" w:rsidRPr="00D24BBB" w14:paraId="56870D6E" w14:textId="77777777" w:rsidTr="003F73D0">
        <w:trPr>
          <w:trHeight w:val="217"/>
        </w:trPr>
        <w:tc>
          <w:tcPr>
            <w:tcW w:w="455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469D13" w14:textId="77777777" w:rsidR="003F73D0" w:rsidRPr="00D24BBB" w:rsidRDefault="003F73D0" w:rsidP="003F73D0">
            <w:pPr>
              <w:ind w:left="75" w:right="57"/>
              <w:rPr>
                <w:lang w:eastAsia="es-ES"/>
              </w:rPr>
            </w:pPr>
            <w:r w:rsidRPr="00D24BBB">
              <w:rPr>
                <w:lang w:eastAsia="es-ES"/>
              </w:rPr>
              <w:t>ICT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7004C448" w14:textId="77777777" w:rsidR="003F73D0" w:rsidRPr="00D24BBB" w:rsidRDefault="003F73D0" w:rsidP="003F73D0">
            <w:pPr>
              <w:ind w:left="-90" w:right="57"/>
              <w:jc w:val="center"/>
              <w:rPr>
                <w:lang w:eastAsia="es-ES"/>
              </w:rPr>
            </w:pPr>
            <w:r w:rsidRPr="00D24BBB">
              <w:rPr>
                <w:lang w:eastAsia="es-ES"/>
              </w:rPr>
              <w:t>x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01EAEAF5" w14:textId="77777777" w:rsidR="003F73D0" w:rsidRPr="00D24BBB" w:rsidRDefault="003F73D0" w:rsidP="003F73D0">
            <w:pPr>
              <w:ind w:left="-90" w:right="57"/>
              <w:jc w:val="center"/>
              <w:rPr>
                <w:lang w:eastAsia="es-ES"/>
              </w:rPr>
            </w:pPr>
            <w:r w:rsidRPr="00D24BBB">
              <w:rPr>
                <w:lang w:eastAsia="es-ES"/>
              </w:rPr>
              <w:t>x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2C446297" w14:textId="77777777" w:rsidR="003F73D0" w:rsidRPr="00D24BBB" w:rsidRDefault="003F73D0" w:rsidP="003F73D0">
            <w:pPr>
              <w:ind w:left="-90" w:right="57"/>
              <w:jc w:val="center"/>
              <w:rPr>
                <w:lang w:eastAsia="es-ES"/>
              </w:rPr>
            </w:pPr>
            <w:r w:rsidRPr="00D24BBB">
              <w:rPr>
                <w:lang w:eastAsia="es-ES"/>
              </w:rPr>
              <w:t>x</w:t>
            </w:r>
          </w:p>
        </w:tc>
      </w:tr>
      <w:tr w:rsidR="003F73D0" w:rsidRPr="00D24BBB" w14:paraId="72BBC239" w14:textId="77777777" w:rsidTr="003F73D0">
        <w:trPr>
          <w:trHeight w:val="328"/>
        </w:trPr>
        <w:tc>
          <w:tcPr>
            <w:tcW w:w="455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1B05E3" w14:textId="77777777" w:rsidR="003F73D0" w:rsidRPr="00D24BBB" w:rsidRDefault="003F73D0" w:rsidP="003F73D0">
            <w:pPr>
              <w:ind w:left="75" w:right="57"/>
              <w:rPr>
                <w:lang w:eastAsia="es-ES"/>
              </w:rPr>
            </w:pPr>
            <w:r w:rsidRPr="00D24BBB">
              <w:rPr>
                <w:lang w:eastAsia="es-ES"/>
              </w:rPr>
              <w:t>Manufacturing</w:t>
            </w:r>
            <w:r>
              <w:rPr>
                <w:lang w:eastAsia="es-ES"/>
              </w:rPr>
              <w:t xml:space="preserve"> </w:t>
            </w:r>
            <w:r w:rsidRPr="00D24BBB">
              <w:rPr>
                <w:lang w:eastAsia="es-ES"/>
              </w:rPr>
              <w:t>and mechanical engineering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25BD8F89" w14:textId="77777777" w:rsidR="003F73D0" w:rsidRPr="00D24BBB" w:rsidRDefault="003F73D0" w:rsidP="003F73D0">
            <w:pPr>
              <w:ind w:left="-90" w:right="57"/>
              <w:jc w:val="center"/>
              <w:rPr>
                <w:lang w:eastAsia="es-ES"/>
              </w:rPr>
            </w:pPr>
            <w:r w:rsidRPr="00D24BBB">
              <w:rPr>
                <w:lang w:eastAsia="es-ES"/>
              </w:rPr>
              <w:t>x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74384BD7" w14:textId="77777777" w:rsidR="003F73D0" w:rsidRPr="00D24BBB" w:rsidRDefault="003F73D0" w:rsidP="003F73D0">
            <w:pPr>
              <w:ind w:left="-90" w:right="57"/>
              <w:jc w:val="center"/>
              <w:rPr>
                <w:lang w:eastAsia="es-ES"/>
              </w:rPr>
            </w:pPr>
            <w:r w:rsidRPr="00D24BBB">
              <w:rPr>
                <w:lang w:eastAsia="es-ES"/>
              </w:rPr>
              <w:t>x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2EC2657A" w14:textId="77777777" w:rsidR="003F73D0" w:rsidRPr="00D24BBB" w:rsidRDefault="003F73D0" w:rsidP="003F73D0">
            <w:pPr>
              <w:ind w:left="-90" w:right="57"/>
              <w:jc w:val="center"/>
              <w:rPr>
                <w:lang w:eastAsia="es-ES"/>
              </w:rPr>
            </w:pPr>
          </w:p>
        </w:tc>
      </w:tr>
      <w:tr w:rsidR="003F73D0" w:rsidRPr="00D24BBB" w14:paraId="08E77D1C" w14:textId="77777777" w:rsidTr="003F73D0">
        <w:trPr>
          <w:trHeight w:val="217"/>
        </w:trPr>
        <w:tc>
          <w:tcPr>
            <w:tcW w:w="455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16FACC" w14:textId="77777777" w:rsidR="003F73D0" w:rsidRPr="00D24BBB" w:rsidRDefault="003F73D0" w:rsidP="003F73D0">
            <w:pPr>
              <w:ind w:left="75" w:right="57"/>
              <w:rPr>
                <w:lang w:eastAsia="es-ES"/>
              </w:rPr>
            </w:pPr>
            <w:r w:rsidRPr="00D24BBB">
              <w:t>Metal processing and metalworking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4A021C7" w14:textId="77777777" w:rsidR="003F73D0" w:rsidRPr="00D24BBB" w:rsidRDefault="003F73D0" w:rsidP="003F73D0">
            <w:pPr>
              <w:ind w:left="-90" w:right="57"/>
              <w:jc w:val="center"/>
              <w:rPr>
                <w:lang w:eastAsia="es-ES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5E3C9593" w14:textId="77777777" w:rsidR="003F73D0" w:rsidRPr="00D24BBB" w:rsidRDefault="003F73D0" w:rsidP="003F73D0">
            <w:pPr>
              <w:ind w:left="-90" w:right="57"/>
              <w:jc w:val="center"/>
              <w:rPr>
                <w:lang w:eastAsia="es-ES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14:paraId="554310C7" w14:textId="77777777" w:rsidR="003F73D0" w:rsidRPr="00D24BBB" w:rsidRDefault="003F73D0" w:rsidP="003F73D0">
            <w:pPr>
              <w:ind w:left="-90" w:right="57"/>
              <w:jc w:val="center"/>
              <w:rPr>
                <w:lang w:eastAsia="es-ES"/>
              </w:rPr>
            </w:pPr>
            <w:r w:rsidRPr="00D24BBB">
              <w:rPr>
                <w:lang w:eastAsia="es-ES"/>
              </w:rPr>
              <w:t>x</w:t>
            </w:r>
          </w:p>
        </w:tc>
      </w:tr>
      <w:tr w:rsidR="003F73D0" w:rsidRPr="00D24BBB" w14:paraId="49203E44" w14:textId="77777777" w:rsidTr="003F73D0">
        <w:trPr>
          <w:trHeight w:val="205"/>
        </w:trPr>
        <w:tc>
          <w:tcPr>
            <w:tcW w:w="455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B75458" w14:textId="77777777" w:rsidR="003F73D0" w:rsidRPr="00D24BBB" w:rsidRDefault="003F73D0" w:rsidP="003F73D0">
            <w:pPr>
              <w:ind w:left="75" w:right="57"/>
              <w:rPr>
                <w:lang w:eastAsia="es-ES"/>
              </w:rPr>
            </w:pPr>
            <w:r w:rsidRPr="00D24BBB">
              <w:rPr>
                <w:lang w:eastAsia="es-ES"/>
              </w:rPr>
              <w:t>Nanotechnologies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B2B7E26" w14:textId="77777777" w:rsidR="003F73D0" w:rsidRPr="00D24BBB" w:rsidRDefault="003F73D0" w:rsidP="003F73D0">
            <w:pPr>
              <w:ind w:left="-90" w:right="57"/>
              <w:jc w:val="center"/>
              <w:rPr>
                <w:lang w:eastAsia="es-ES"/>
              </w:rPr>
            </w:pPr>
            <w:r w:rsidRPr="00D24BBB">
              <w:rPr>
                <w:lang w:eastAsia="es-ES"/>
              </w:rPr>
              <w:t>x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6E934AE6" w14:textId="77777777" w:rsidR="003F73D0" w:rsidRPr="00D24BBB" w:rsidRDefault="003F73D0" w:rsidP="003F73D0">
            <w:pPr>
              <w:ind w:left="-90" w:right="57"/>
              <w:jc w:val="center"/>
              <w:rPr>
                <w:lang w:eastAsia="es-ES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14:paraId="23AD4441" w14:textId="77777777" w:rsidR="003F73D0" w:rsidRPr="00D24BBB" w:rsidRDefault="003F73D0" w:rsidP="003F73D0">
            <w:pPr>
              <w:ind w:left="-90" w:right="57"/>
              <w:jc w:val="center"/>
              <w:rPr>
                <w:lang w:eastAsia="es-ES"/>
              </w:rPr>
            </w:pPr>
          </w:p>
        </w:tc>
      </w:tr>
      <w:tr w:rsidR="003F73D0" w:rsidRPr="00D24BBB" w14:paraId="2C7B69C1" w14:textId="77777777" w:rsidTr="003F73D0">
        <w:trPr>
          <w:trHeight w:val="205"/>
        </w:trPr>
        <w:tc>
          <w:tcPr>
            <w:tcW w:w="455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018992" w14:textId="77777777" w:rsidR="003F73D0" w:rsidRPr="00D24BBB" w:rsidRDefault="003F73D0" w:rsidP="003F73D0">
            <w:pPr>
              <w:ind w:left="75" w:right="57"/>
              <w:rPr>
                <w:lang w:eastAsia="es-ES"/>
              </w:rPr>
            </w:pPr>
            <w:r w:rsidRPr="00D24BBB">
              <w:t>Shipbuilding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707A232" w14:textId="77777777" w:rsidR="003F73D0" w:rsidRPr="00D24BBB" w:rsidRDefault="003F73D0" w:rsidP="003F73D0">
            <w:pPr>
              <w:ind w:left="-90" w:right="57"/>
              <w:jc w:val="center"/>
              <w:rPr>
                <w:lang w:eastAsia="es-ES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5AE63141" w14:textId="77777777" w:rsidR="003F73D0" w:rsidRPr="00D24BBB" w:rsidRDefault="003F73D0" w:rsidP="003F73D0">
            <w:pPr>
              <w:ind w:left="-90" w:right="57"/>
              <w:jc w:val="center"/>
              <w:rPr>
                <w:lang w:eastAsia="es-ES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14:paraId="4BFC6354" w14:textId="77777777" w:rsidR="003F73D0" w:rsidRPr="00D24BBB" w:rsidRDefault="003F73D0" w:rsidP="003F73D0">
            <w:pPr>
              <w:ind w:left="-90" w:right="57"/>
              <w:jc w:val="center"/>
              <w:rPr>
                <w:lang w:eastAsia="es-ES"/>
              </w:rPr>
            </w:pPr>
            <w:r w:rsidRPr="00D24BBB">
              <w:rPr>
                <w:lang w:eastAsia="es-ES"/>
              </w:rPr>
              <w:t>x</w:t>
            </w:r>
          </w:p>
        </w:tc>
      </w:tr>
    </w:tbl>
    <w:p w14:paraId="1594DB98" w14:textId="77777777" w:rsidR="003F73D0" w:rsidRDefault="003F73D0" w:rsidP="003F73D0">
      <w:pPr>
        <w:ind w:left="-90"/>
      </w:pPr>
    </w:p>
    <w:p w14:paraId="7AE05EDD" w14:textId="091D2B10" w:rsidR="003F73D0" w:rsidRPr="009F3AFB" w:rsidRDefault="005C350A" w:rsidP="00D42DE5">
      <w:pPr>
        <w:ind w:left="-90"/>
        <w:rPr>
          <w:color w:val="FF0000"/>
        </w:rPr>
      </w:pPr>
      <w:r w:rsidRPr="00D24BBB">
        <w:t xml:space="preserve">Generally, </w:t>
      </w:r>
      <w:r w:rsidR="00D641E8">
        <w:t xml:space="preserve">CEE </w:t>
      </w:r>
      <w:r w:rsidRPr="00D24BBB">
        <w:t xml:space="preserve">companies are keen to consider new </w:t>
      </w:r>
      <w:r w:rsidR="00B63593" w:rsidRPr="00B63593">
        <w:t>production opportunities</w:t>
      </w:r>
      <w:r w:rsidRPr="00D24BBB">
        <w:t>.</w:t>
      </w:r>
      <w:r w:rsidR="00B63593">
        <w:t xml:space="preserve"> </w:t>
      </w:r>
      <w:r w:rsidR="00D42DE5">
        <w:t xml:space="preserve">The sectors covered in this report have capabilities that accommodate a myriad of products and a full range of support services. Many sectors are seeking new international customers, specifically looking to mitigate falling demand from Europe </w:t>
      </w:r>
      <w:r w:rsidR="00B04324">
        <w:t xml:space="preserve">by shifting their focus to </w:t>
      </w:r>
      <w:r w:rsidR="00D641E8">
        <w:t>U.S. companies.</w:t>
      </w:r>
      <w:r w:rsidR="00D42DE5">
        <w:t xml:space="preserve"> </w:t>
      </w:r>
    </w:p>
    <w:p w14:paraId="175209BF" w14:textId="77777777" w:rsidR="00C804E9" w:rsidRDefault="00C804E9" w:rsidP="00C804E9">
      <w:pPr>
        <w:ind w:left="-90"/>
        <w:jc w:val="both"/>
      </w:pPr>
    </w:p>
    <w:p w14:paraId="25B0C44D" w14:textId="4563FAB3" w:rsidR="003F73D0" w:rsidRPr="003F73D0" w:rsidRDefault="00C804E9" w:rsidP="00C804E9">
      <w:pPr>
        <w:ind w:left="-90"/>
        <w:jc w:val="both"/>
      </w:pPr>
      <w:r>
        <w:lastRenderedPageBreak/>
        <w:t>T</w:t>
      </w:r>
      <w:r w:rsidRPr="00C804E9">
        <w:t xml:space="preserve">o access the full report and learn more about VEDP’s </w:t>
      </w:r>
      <w:r w:rsidR="00D641E8" w:rsidRPr="00C804E9">
        <w:t>Supply Chain Optimization Program</w:t>
      </w:r>
      <w:r w:rsidRPr="00C804E9">
        <w:t xml:space="preserve">, please contact Monica Sadie, VEDP’s Supply Chain Program Manager, at </w:t>
      </w:r>
      <w:hyperlink r:id="rId7" w:history="1">
        <w:r w:rsidRPr="00535E37">
          <w:rPr>
            <w:rStyle w:val="Hyperlink"/>
          </w:rPr>
          <w:t>msadie@vedp.org</w:t>
        </w:r>
      </w:hyperlink>
      <w:r>
        <w:t xml:space="preserve">. </w:t>
      </w:r>
    </w:p>
    <w:sectPr w:rsidR="003F73D0" w:rsidRPr="003F73D0" w:rsidSect="003F73D0">
      <w:footerReference w:type="even" r:id="rId8"/>
      <w:footerReference w:type="default" r:id="rId9"/>
      <w:headerReference w:type="first" r:id="rId10"/>
      <w:pgSz w:w="12240" w:h="15840"/>
      <w:pgMar w:top="1328" w:right="540" w:bottom="720" w:left="1080" w:header="720" w:footer="53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BF37F" w14:textId="77777777" w:rsidR="00C804E9" w:rsidRDefault="00C804E9" w:rsidP="00706C31">
      <w:r>
        <w:separator/>
      </w:r>
    </w:p>
  </w:endnote>
  <w:endnote w:type="continuationSeparator" w:id="0">
    <w:p w14:paraId="3ECF98A0" w14:textId="77777777" w:rsidR="00C804E9" w:rsidRDefault="00C804E9" w:rsidP="007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3B013" w14:textId="77777777" w:rsidR="00B74E83" w:rsidRDefault="00D641E8" w:rsidP="00706C31">
    <w:pPr>
      <w:pStyle w:val="Footer"/>
    </w:pPr>
    <w:sdt>
      <w:sdtPr>
        <w:rPr>
          <w:rStyle w:val="PageNumber"/>
        </w:rPr>
        <w:id w:val="-1789035724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4D31B4">
          <w:rPr>
            <w:rStyle w:val="PageNumber"/>
          </w:rPr>
          <w:fldChar w:fldCharType="begin"/>
        </w:r>
        <w:r w:rsidR="004D31B4">
          <w:rPr>
            <w:rStyle w:val="PageNumber"/>
          </w:rPr>
          <w:instrText xml:space="preserve"> PAGE </w:instrText>
        </w:r>
        <w:r w:rsidR="004D31B4">
          <w:rPr>
            <w:rStyle w:val="PageNumber"/>
          </w:rPr>
          <w:fldChar w:fldCharType="separate"/>
        </w:r>
        <w:r w:rsidR="003F73D0">
          <w:rPr>
            <w:rStyle w:val="PageNumber"/>
            <w:noProof/>
          </w:rPr>
          <w:t>1</w:t>
        </w:r>
        <w:r w:rsidR="004D31B4">
          <w:rPr>
            <w:rStyle w:val="PageNumber"/>
          </w:rPr>
          <w:fldChar w:fldCharType="end"/>
        </w:r>
      </w:sdtContent>
    </w:sdt>
    <w:r w:rsidR="003C6836">
      <w:rPr>
        <w:rStyle w:val="PageNumber"/>
      </w:rPr>
      <w:t xml:space="preserve">  </w:t>
    </w:r>
    <w:r w:rsidR="003C68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6407" w14:textId="77777777" w:rsidR="007000C8" w:rsidRDefault="00D641E8" w:rsidP="004D31B4">
    <w:pPr>
      <w:pStyle w:val="FooterYear"/>
      <w:ind w:left="1170" w:right="360"/>
    </w:pPr>
    <w:sdt>
      <w:sdtPr>
        <w:rPr>
          <w:rStyle w:val="PageNumber"/>
          <w:color w:val="000000" w:themeColor="text1"/>
          <w:szCs w:val="16"/>
        </w:rPr>
        <w:id w:val="-1000968214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4D31B4" w:rsidRPr="00427F16">
          <w:rPr>
            <w:rStyle w:val="PageNumber"/>
            <w:color w:val="000000" w:themeColor="text1"/>
            <w:szCs w:val="16"/>
          </w:rPr>
          <w:fldChar w:fldCharType="begin"/>
        </w:r>
        <w:r w:rsidR="004D31B4" w:rsidRPr="00427F16">
          <w:rPr>
            <w:rStyle w:val="PageNumber"/>
            <w:color w:val="000000" w:themeColor="text1"/>
            <w:szCs w:val="16"/>
          </w:rPr>
          <w:instrText xml:space="preserve"> PAGE </w:instrText>
        </w:r>
        <w:r w:rsidR="004D31B4" w:rsidRPr="00427F16">
          <w:rPr>
            <w:rStyle w:val="PageNumber"/>
            <w:color w:val="000000" w:themeColor="text1"/>
            <w:szCs w:val="16"/>
          </w:rPr>
          <w:fldChar w:fldCharType="separate"/>
        </w:r>
        <w:r w:rsidR="004D31B4" w:rsidRPr="00427F16">
          <w:rPr>
            <w:rStyle w:val="PageNumber"/>
            <w:noProof/>
            <w:color w:val="000000" w:themeColor="text1"/>
            <w:szCs w:val="16"/>
          </w:rPr>
          <w:t>1</w:t>
        </w:r>
        <w:r w:rsidR="004D31B4" w:rsidRPr="00427F16">
          <w:rPr>
            <w:rStyle w:val="PageNumber"/>
            <w:color w:val="000000" w:themeColor="text1"/>
            <w:szCs w:val="16"/>
          </w:rPr>
          <w:fldChar w:fldCharType="end"/>
        </w:r>
      </w:sdtContent>
    </w:sdt>
    <w:r w:rsidR="003C6836">
      <w:rPr>
        <w:rStyle w:val="PageNumber"/>
        <w:color w:val="000000" w:themeColor="text1"/>
        <w:szCs w:val="16"/>
      </w:rPr>
      <w:t xml:space="preserve"> </w:t>
    </w:r>
    <w:r w:rsidR="004D31B4" w:rsidRPr="00B74E83">
      <w:rPr>
        <w:rStyle w:val="FooterDocumentTitleContactChar"/>
        <w:noProof/>
      </w:rPr>
      <w:drawing>
        <wp:anchor distT="0" distB="0" distL="114300" distR="114300" simplePos="0" relativeHeight="251663360" behindDoc="1" locked="1" layoutInCell="1" allowOverlap="1" wp14:anchorId="482CEA3B" wp14:editId="7E22BDE9">
          <wp:simplePos x="0" y="0"/>
          <wp:positionH relativeFrom="column">
            <wp:posOffset>-4445</wp:posOffset>
          </wp:positionH>
          <wp:positionV relativeFrom="page">
            <wp:posOffset>9555480</wp:posOffset>
          </wp:positionV>
          <wp:extent cx="612140" cy="191770"/>
          <wp:effectExtent l="0" t="0" r="0" b="0"/>
          <wp:wrapNone/>
          <wp:docPr id="1" name="Picture 1" descr="A picture containing clock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DP_Logo_Primary_2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r="35851" b="35"/>
                  <a:stretch/>
                </pic:blipFill>
                <pic:spPr bwMode="auto">
                  <a:xfrm>
                    <a:off x="0" y="0"/>
                    <a:ext cx="612140" cy="191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31B4">
      <w:ptab w:relativeTo="margin" w:alignment="center" w:leader="none"/>
    </w:r>
    <w:r w:rsidR="004D31B4">
      <w:ptab w:relativeTo="margin" w:alignment="center" w:leader="none"/>
    </w:r>
    <w:r w:rsidR="004D31B4">
      <w:ptab w:relativeTo="margin" w:alignment="right" w:leader="none"/>
    </w:r>
    <w:r w:rsidR="003C68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79664" w14:textId="77777777" w:rsidR="00C804E9" w:rsidRDefault="00C804E9" w:rsidP="00706C31">
      <w:r>
        <w:separator/>
      </w:r>
    </w:p>
  </w:footnote>
  <w:footnote w:type="continuationSeparator" w:id="0">
    <w:p w14:paraId="58357343" w14:textId="77777777" w:rsidR="00C804E9" w:rsidRDefault="00C804E9" w:rsidP="00706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7EC6" w14:textId="77777777" w:rsidR="00B74E83" w:rsidRDefault="00C9495B" w:rsidP="00706C31">
    <w:pPr>
      <w:pStyle w:val="FooterYear"/>
    </w:pPr>
    <w:r w:rsidRPr="00B137B5">
      <w:rPr>
        <w:noProof/>
      </w:rPr>
      <w:drawing>
        <wp:anchor distT="0" distB="0" distL="114300" distR="114300" simplePos="0" relativeHeight="251665408" behindDoc="0" locked="0" layoutInCell="1" allowOverlap="1" wp14:anchorId="15DC83BD" wp14:editId="47B6B94F">
          <wp:simplePos x="0" y="0"/>
          <wp:positionH relativeFrom="column">
            <wp:posOffset>4348821</wp:posOffset>
          </wp:positionH>
          <wp:positionV relativeFrom="page">
            <wp:posOffset>457200</wp:posOffset>
          </wp:positionV>
          <wp:extent cx="2286000" cy="412635"/>
          <wp:effectExtent l="0" t="0" r="0" b="0"/>
          <wp:wrapNone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 up of a sign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12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4E83">
      <w:t xml:space="preserve"> </w:t>
    </w:r>
    <w:r w:rsidR="003C683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4E04B2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3D2B7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1A481F"/>
    <w:multiLevelType w:val="hybridMultilevel"/>
    <w:tmpl w:val="87E854FE"/>
    <w:lvl w:ilvl="0" w:tplc="B61A80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11EBE"/>
    <w:multiLevelType w:val="hybridMultilevel"/>
    <w:tmpl w:val="79B23F32"/>
    <w:lvl w:ilvl="0" w:tplc="D8606326">
      <w:start w:val="1"/>
      <w:numFmt w:val="bullet"/>
      <w:pStyle w:val="Bullet-LevelOn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46E07"/>
    <w:multiLevelType w:val="hybridMultilevel"/>
    <w:tmpl w:val="38847E1C"/>
    <w:lvl w:ilvl="0" w:tplc="5DCCF9FA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515DD"/>
    <w:multiLevelType w:val="multilevel"/>
    <w:tmpl w:val="ED68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CB0D48"/>
    <w:multiLevelType w:val="hybridMultilevel"/>
    <w:tmpl w:val="4AECCB62"/>
    <w:lvl w:ilvl="0" w:tplc="FFC6143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B524E"/>
    <w:multiLevelType w:val="hybridMultilevel"/>
    <w:tmpl w:val="09D46630"/>
    <w:lvl w:ilvl="0" w:tplc="B61A80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873A5"/>
    <w:multiLevelType w:val="multilevel"/>
    <w:tmpl w:val="A00C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2C4898"/>
    <w:multiLevelType w:val="hybridMultilevel"/>
    <w:tmpl w:val="6DC6AFEA"/>
    <w:lvl w:ilvl="0" w:tplc="1B8A003A">
      <w:start w:val="1"/>
      <w:numFmt w:val="bullet"/>
      <w:pStyle w:val="Bullets-SecondLevel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E4320"/>
    <w:multiLevelType w:val="multilevel"/>
    <w:tmpl w:val="BD1C8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1B730A"/>
    <w:multiLevelType w:val="multilevel"/>
    <w:tmpl w:val="492EEC84"/>
    <w:lvl w:ilvl="0">
      <w:start w:val="1"/>
      <w:numFmt w:val="bullet"/>
      <w:pStyle w:val="ListParagraph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5972518">
    <w:abstractNumId w:val="3"/>
  </w:num>
  <w:num w:numId="2" w16cid:durableId="1914729487">
    <w:abstractNumId w:val="1"/>
  </w:num>
  <w:num w:numId="3" w16cid:durableId="1240674397">
    <w:abstractNumId w:val="6"/>
  </w:num>
  <w:num w:numId="4" w16cid:durableId="208810082">
    <w:abstractNumId w:val="0"/>
  </w:num>
  <w:num w:numId="5" w16cid:durableId="1710841339">
    <w:abstractNumId w:val="9"/>
  </w:num>
  <w:num w:numId="6" w16cid:durableId="287514834">
    <w:abstractNumId w:val="4"/>
  </w:num>
  <w:num w:numId="7" w16cid:durableId="542835547">
    <w:abstractNumId w:val="7"/>
  </w:num>
  <w:num w:numId="8" w16cid:durableId="1591499504">
    <w:abstractNumId w:val="10"/>
  </w:num>
  <w:num w:numId="9" w16cid:durableId="9113373">
    <w:abstractNumId w:val="5"/>
  </w:num>
  <w:num w:numId="10" w16cid:durableId="1140612917">
    <w:abstractNumId w:val="8"/>
  </w:num>
  <w:num w:numId="11" w16cid:durableId="1921213271">
    <w:abstractNumId w:val="11"/>
  </w:num>
  <w:num w:numId="12" w16cid:durableId="303972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36"/>
    <w:rsid w:val="00036476"/>
    <w:rsid w:val="000712F4"/>
    <w:rsid w:val="000A47B0"/>
    <w:rsid w:val="000C62F7"/>
    <w:rsid w:val="000C6AE0"/>
    <w:rsid w:val="000D27BD"/>
    <w:rsid w:val="000D68D9"/>
    <w:rsid w:val="001103E7"/>
    <w:rsid w:val="0014135A"/>
    <w:rsid w:val="001C3C56"/>
    <w:rsid w:val="001F24CB"/>
    <w:rsid w:val="001F712A"/>
    <w:rsid w:val="00201152"/>
    <w:rsid w:val="0020355E"/>
    <w:rsid w:val="002130B7"/>
    <w:rsid w:val="0022394F"/>
    <w:rsid w:val="00254E6A"/>
    <w:rsid w:val="00260EDD"/>
    <w:rsid w:val="00264D41"/>
    <w:rsid w:val="00267808"/>
    <w:rsid w:val="0029243D"/>
    <w:rsid w:val="002A7FF1"/>
    <w:rsid w:val="002C1EDA"/>
    <w:rsid w:val="002C3DF6"/>
    <w:rsid w:val="002C756C"/>
    <w:rsid w:val="002E6425"/>
    <w:rsid w:val="00311010"/>
    <w:rsid w:val="00332D25"/>
    <w:rsid w:val="003418F3"/>
    <w:rsid w:val="0036488F"/>
    <w:rsid w:val="003B5128"/>
    <w:rsid w:val="003C6836"/>
    <w:rsid w:val="003F73D0"/>
    <w:rsid w:val="00404B34"/>
    <w:rsid w:val="00427F16"/>
    <w:rsid w:val="0044786B"/>
    <w:rsid w:val="00492AB3"/>
    <w:rsid w:val="004A0EF3"/>
    <w:rsid w:val="004B0D63"/>
    <w:rsid w:val="004D31B4"/>
    <w:rsid w:val="004F25BF"/>
    <w:rsid w:val="005376C2"/>
    <w:rsid w:val="00584185"/>
    <w:rsid w:val="0058751D"/>
    <w:rsid w:val="0059223B"/>
    <w:rsid w:val="005A0B12"/>
    <w:rsid w:val="005A6DDB"/>
    <w:rsid w:val="005A7BAA"/>
    <w:rsid w:val="005C350A"/>
    <w:rsid w:val="005E1B6A"/>
    <w:rsid w:val="005E69FC"/>
    <w:rsid w:val="005E753C"/>
    <w:rsid w:val="005F2AE7"/>
    <w:rsid w:val="00620827"/>
    <w:rsid w:val="006227E6"/>
    <w:rsid w:val="00687BC4"/>
    <w:rsid w:val="006C5C94"/>
    <w:rsid w:val="006E3C8C"/>
    <w:rsid w:val="006F61CC"/>
    <w:rsid w:val="007000C8"/>
    <w:rsid w:val="007046A8"/>
    <w:rsid w:val="00706C31"/>
    <w:rsid w:val="0071622C"/>
    <w:rsid w:val="00732BB2"/>
    <w:rsid w:val="007642EA"/>
    <w:rsid w:val="007644BF"/>
    <w:rsid w:val="00784023"/>
    <w:rsid w:val="00790CCE"/>
    <w:rsid w:val="007E1AD5"/>
    <w:rsid w:val="00805406"/>
    <w:rsid w:val="00864955"/>
    <w:rsid w:val="008B33AD"/>
    <w:rsid w:val="008C0932"/>
    <w:rsid w:val="00911225"/>
    <w:rsid w:val="0091184B"/>
    <w:rsid w:val="009148C9"/>
    <w:rsid w:val="00942992"/>
    <w:rsid w:val="00946F26"/>
    <w:rsid w:val="00954CBB"/>
    <w:rsid w:val="009D16CD"/>
    <w:rsid w:val="009D7860"/>
    <w:rsid w:val="009F3AFB"/>
    <w:rsid w:val="00A06A8B"/>
    <w:rsid w:val="00A30D94"/>
    <w:rsid w:val="00A32D73"/>
    <w:rsid w:val="00A37119"/>
    <w:rsid w:val="00A44CE2"/>
    <w:rsid w:val="00A747C3"/>
    <w:rsid w:val="00AB3137"/>
    <w:rsid w:val="00AB444B"/>
    <w:rsid w:val="00AE091D"/>
    <w:rsid w:val="00AE2248"/>
    <w:rsid w:val="00B04324"/>
    <w:rsid w:val="00B37BAE"/>
    <w:rsid w:val="00B47BE4"/>
    <w:rsid w:val="00B63593"/>
    <w:rsid w:val="00B74E83"/>
    <w:rsid w:val="00BB644A"/>
    <w:rsid w:val="00C3669F"/>
    <w:rsid w:val="00C430D2"/>
    <w:rsid w:val="00C61081"/>
    <w:rsid w:val="00C804E9"/>
    <w:rsid w:val="00C80BC6"/>
    <w:rsid w:val="00C9495B"/>
    <w:rsid w:val="00CC55BD"/>
    <w:rsid w:val="00D336C6"/>
    <w:rsid w:val="00D42CBF"/>
    <w:rsid w:val="00D42DE5"/>
    <w:rsid w:val="00D471F6"/>
    <w:rsid w:val="00D566B4"/>
    <w:rsid w:val="00D641E8"/>
    <w:rsid w:val="00D676D1"/>
    <w:rsid w:val="00DB22F9"/>
    <w:rsid w:val="00DB4A29"/>
    <w:rsid w:val="00DE3B3D"/>
    <w:rsid w:val="00DF7521"/>
    <w:rsid w:val="00E21743"/>
    <w:rsid w:val="00E21981"/>
    <w:rsid w:val="00E21A27"/>
    <w:rsid w:val="00E227C0"/>
    <w:rsid w:val="00E87664"/>
    <w:rsid w:val="00EA7678"/>
    <w:rsid w:val="00EA7D70"/>
    <w:rsid w:val="00ED6880"/>
    <w:rsid w:val="00F06E92"/>
    <w:rsid w:val="00F57AFE"/>
    <w:rsid w:val="00FD2CD5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14B3E"/>
  <w14:defaultImageDpi w14:val="32767"/>
  <w15:chartTrackingRefBased/>
  <w15:docId w15:val="{51BC5ED6-2544-42FE-B1F9-E098D63D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C9495B"/>
    <w:pPr>
      <w:spacing w:line="252" w:lineRule="auto"/>
    </w:pPr>
    <w:rPr>
      <w:rFonts w:cs="Arial"/>
      <w:szCs w:val="18"/>
    </w:rPr>
  </w:style>
  <w:style w:type="paragraph" w:styleId="Heading1">
    <w:name w:val="heading 1"/>
    <w:next w:val="Normal"/>
    <w:link w:val="Heading1Char"/>
    <w:autoRedefine/>
    <w:uiPriority w:val="9"/>
    <w:qFormat/>
    <w:rsid w:val="003F73D0"/>
    <w:pPr>
      <w:keepNext/>
      <w:keepLines/>
      <w:pBdr>
        <w:bottom w:val="single" w:sz="6" w:space="1" w:color="003865"/>
      </w:pBdr>
      <w:spacing w:before="120" w:after="60"/>
      <w:ind w:left="-90"/>
      <w:outlineLvl w:val="0"/>
    </w:pPr>
    <w:rPr>
      <w:rFonts w:eastAsiaTheme="majorEastAsia" w:cstheme="majorBidi"/>
      <w:b/>
      <w:color w:val="003865"/>
      <w:sz w:val="56"/>
      <w:szCs w:val="32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492AB3"/>
    <w:pPr>
      <w:keepNext/>
      <w:keepLines/>
      <w:spacing w:after="60"/>
      <w:contextualSpacing/>
      <w:outlineLvl w:val="1"/>
    </w:pPr>
    <w:rPr>
      <w:rFonts w:eastAsiaTheme="majorEastAsia" w:cstheme="majorBidi"/>
      <w:b/>
      <w:color w:val="000000" w:themeColor="text1"/>
      <w:sz w:val="36"/>
      <w:szCs w:val="36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7E1AD5"/>
    <w:pPr>
      <w:keepNext/>
      <w:keepLines/>
      <w:spacing w:before="240" w:after="60"/>
      <w:outlineLvl w:val="2"/>
    </w:pPr>
    <w:rPr>
      <w:rFonts w:eastAsiaTheme="majorEastAsia" w:cstheme="majorBidi"/>
      <w:b/>
      <w:color w:val="003865"/>
      <w:sz w:val="28"/>
    </w:rPr>
  </w:style>
  <w:style w:type="paragraph" w:styleId="Heading4">
    <w:name w:val="heading 4"/>
    <w:next w:val="Normal"/>
    <w:link w:val="Heading4Char"/>
    <w:autoRedefine/>
    <w:uiPriority w:val="9"/>
    <w:unhideWhenUsed/>
    <w:qFormat/>
    <w:rsid w:val="002C3DF6"/>
    <w:pPr>
      <w:keepNext/>
      <w:keepLines/>
      <w:spacing w:after="6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next w:val="Normal"/>
    <w:link w:val="Heading5Char"/>
    <w:uiPriority w:val="9"/>
    <w:unhideWhenUsed/>
    <w:qFormat/>
    <w:rsid w:val="00864955"/>
    <w:pPr>
      <w:keepNext/>
      <w:keepLines/>
      <w:spacing w:before="40" w:line="36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64955"/>
    <w:pPr>
      <w:keepNext/>
      <w:keepLines/>
      <w:spacing w:before="40"/>
      <w:outlineLvl w:val="5"/>
    </w:pPr>
    <w:rPr>
      <w:rFonts w:eastAsiaTheme="majorEastAsia" w:cstheme="majorBidi"/>
      <w:color w:val="001B3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3D0"/>
    <w:rPr>
      <w:rFonts w:eastAsiaTheme="majorEastAsia" w:cstheme="majorBidi"/>
      <w:b/>
      <w:color w:val="003865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2AB3"/>
    <w:rPr>
      <w:rFonts w:eastAsiaTheme="majorEastAsia" w:cstheme="majorBidi"/>
      <w:b/>
      <w:color w:val="000000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E1AD5"/>
    <w:rPr>
      <w:rFonts w:eastAsiaTheme="majorEastAsia" w:cstheme="majorBidi"/>
      <w:b/>
      <w:color w:val="003865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C3DF6"/>
    <w:rPr>
      <w:rFonts w:eastAsiaTheme="majorEastAsia" w:cstheme="majorBidi"/>
      <w:b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864955"/>
    <w:rPr>
      <w:rFonts w:eastAsiaTheme="majorEastAsia" w:cstheme="majorBidi"/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864955"/>
    <w:rPr>
      <w:rFonts w:eastAsiaTheme="majorEastAsia" w:cstheme="majorBidi"/>
      <w:color w:val="001B32" w:themeColor="accent1" w:themeShade="7F"/>
    </w:rPr>
  </w:style>
  <w:style w:type="paragraph" w:customStyle="1" w:styleId="Bullet-LevelOne">
    <w:name w:val="Bullet - Level One"/>
    <w:next w:val="ListBullet"/>
    <w:autoRedefine/>
    <w:qFormat/>
    <w:rsid w:val="005E69FC"/>
    <w:pPr>
      <w:numPr>
        <w:numId w:val="1"/>
      </w:numPr>
      <w:spacing w:before="100" w:after="60"/>
      <w:ind w:left="274" w:hanging="274"/>
    </w:pPr>
    <w:rPr>
      <w:rFonts w:cs="Arial"/>
      <w:bCs/>
    </w:rPr>
  </w:style>
  <w:style w:type="paragraph" w:styleId="ListParagraph">
    <w:name w:val="List Paragraph"/>
    <w:basedOn w:val="Normal"/>
    <w:uiPriority w:val="34"/>
    <w:rsid w:val="0022394F"/>
    <w:pPr>
      <w:numPr>
        <w:numId w:val="11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C3669F"/>
    <w:pPr>
      <w:numPr>
        <w:numId w:val="2"/>
      </w:numPr>
      <w:contextualSpacing/>
    </w:pPr>
  </w:style>
  <w:style w:type="paragraph" w:customStyle="1" w:styleId="Bullets-SecondLevel">
    <w:name w:val="Bullets - Second Level"/>
    <w:qFormat/>
    <w:rsid w:val="002C3DF6"/>
    <w:pPr>
      <w:numPr>
        <w:numId w:val="5"/>
      </w:numPr>
      <w:spacing w:after="60"/>
      <w:ind w:left="630" w:hanging="328"/>
    </w:pPr>
  </w:style>
  <w:style w:type="paragraph" w:styleId="ListBullet2">
    <w:name w:val="List Bullet 2"/>
    <w:basedOn w:val="Normal"/>
    <w:uiPriority w:val="99"/>
    <w:semiHidden/>
    <w:unhideWhenUsed/>
    <w:rsid w:val="0022394F"/>
    <w:pPr>
      <w:numPr>
        <w:numId w:val="4"/>
      </w:numPr>
      <w:contextualSpacing/>
    </w:pPr>
  </w:style>
  <w:style w:type="paragraph" w:customStyle="1" w:styleId="NumberedList">
    <w:name w:val="Numbered List"/>
    <w:basedOn w:val="List"/>
    <w:qFormat/>
    <w:rsid w:val="002C3DF6"/>
    <w:pPr>
      <w:numPr>
        <w:numId w:val="6"/>
      </w:numPr>
      <w:ind w:left="274" w:hanging="274"/>
    </w:pPr>
  </w:style>
  <w:style w:type="paragraph" w:customStyle="1" w:styleId="VEDPHyperlink">
    <w:name w:val="VEDP Hyperlink"/>
    <w:qFormat/>
    <w:rsid w:val="002C3DF6"/>
    <w:pPr>
      <w:spacing w:after="60"/>
    </w:pPr>
    <w:rPr>
      <w:color w:val="003865"/>
      <w:u w:val="single"/>
    </w:rPr>
  </w:style>
  <w:style w:type="paragraph" w:styleId="List">
    <w:name w:val="List"/>
    <w:basedOn w:val="Normal"/>
    <w:uiPriority w:val="99"/>
    <w:semiHidden/>
    <w:unhideWhenUsed/>
    <w:rsid w:val="0022394F"/>
    <w:pPr>
      <w:ind w:left="360" w:hanging="360"/>
      <w:contextualSpacing/>
    </w:pPr>
  </w:style>
  <w:style w:type="paragraph" w:customStyle="1" w:styleId="PhotoCaption">
    <w:name w:val="Photo Caption"/>
    <w:qFormat/>
    <w:rsid w:val="002C3DF6"/>
    <w:pPr>
      <w:spacing w:after="60"/>
    </w:pPr>
    <w:rPr>
      <w:sz w:val="18"/>
      <w:szCs w:val="18"/>
    </w:rPr>
  </w:style>
  <w:style w:type="paragraph" w:customStyle="1" w:styleId="Source">
    <w:name w:val="Source"/>
    <w:basedOn w:val="PhotoCaption"/>
    <w:qFormat/>
    <w:rsid w:val="002C3DF6"/>
    <w:rPr>
      <w:color w:val="707371" w:themeColor="accent6"/>
    </w:rPr>
  </w:style>
  <w:style w:type="paragraph" w:customStyle="1" w:styleId="FooterDocumentTitleContact">
    <w:name w:val="Footer Document Title &amp; Contact"/>
    <w:link w:val="FooterDocumentTitleContactChar"/>
    <w:qFormat/>
    <w:rsid w:val="00B74E83"/>
    <w:pPr>
      <w:spacing w:before="60"/>
    </w:pPr>
    <w:rPr>
      <w:bCs/>
      <w:color w:val="003865" w:themeColor="accent1"/>
      <w:sz w:val="16"/>
      <w:szCs w:val="14"/>
    </w:rPr>
  </w:style>
  <w:style w:type="paragraph" w:customStyle="1" w:styleId="FooterDocumentTopicAddressPhone">
    <w:name w:val="Footer Document Topic &amp; Address/Phone"/>
    <w:basedOn w:val="FooterDocumentTitleContact"/>
    <w:link w:val="FooterDocumentTopicAddressPhoneChar"/>
    <w:qFormat/>
    <w:rsid w:val="00706C31"/>
    <w:pPr>
      <w:ind w:left="270"/>
    </w:pPr>
    <w:rPr>
      <w:bCs w:val="0"/>
      <w:color w:val="707371" w:themeColor="accent6"/>
    </w:rPr>
  </w:style>
  <w:style w:type="paragraph" w:customStyle="1" w:styleId="FooterYear">
    <w:name w:val="Footer Year"/>
    <w:basedOn w:val="FooterDocumentTitleContact"/>
    <w:qFormat/>
    <w:rsid w:val="00706C31"/>
    <w:pPr>
      <w:ind w:left="270"/>
    </w:pPr>
    <w:rPr>
      <w:bCs w:val="0"/>
    </w:rPr>
  </w:style>
  <w:style w:type="paragraph" w:customStyle="1" w:styleId="FooterHyperlink">
    <w:name w:val="Footer Hyperlink"/>
    <w:basedOn w:val="FooterDocumentTitleContact"/>
    <w:link w:val="FooterHyperlinkChar"/>
    <w:autoRedefine/>
    <w:qFormat/>
    <w:rsid w:val="00706C31"/>
    <w:pPr>
      <w:ind w:left="270"/>
    </w:pPr>
    <w:rPr>
      <w:bCs w:val="0"/>
      <w:u w:val="single"/>
    </w:rPr>
  </w:style>
  <w:style w:type="paragraph" w:customStyle="1" w:styleId="VEDPPageNumber">
    <w:name w:val="VEDP Page Number"/>
    <w:basedOn w:val="FooterDocumentTitleContact"/>
    <w:link w:val="VEDPPageNumberChar"/>
    <w:autoRedefine/>
    <w:qFormat/>
    <w:rsid w:val="00427F16"/>
    <w:pPr>
      <w:ind w:left="270"/>
      <w:jc w:val="right"/>
    </w:pPr>
    <w:rPr>
      <w:bCs w:val="0"/>
      <w:color w:val="000000" w:themeColor="text1"/>
    </w:rPr>
  </w:style>
  <w:style w:type="character" w:customStyle="1" w:styleId="FooterDocumentTitleContactChar">
    <w:name w:val="Footer Document Title &amp; Contact Char"/>
    <w:basedOn w:val="DefaultParagraphFont"/>
    <w:link w:val="FooterDocumentTitleContact"/>
    <w:rsid w:val="00B74E83"/>
    <w:rPr>
      <w:bCs/>
      <w:color w:val="003865" w:themeColor="accent1"/>
      <w:sz w:val="16"/>
      <w:szCs w:val="14"/>
    </w:rPr>
  </w:style>
  <w:style w:type="character" w:customStyle="1" w:styleId="FooterDocumentTopicAddressPhoneChar">
    <w:name w:val="Footer Document Topic &amp; Address/Phone Char"/>
    <w:basedOn w:val="DefaultParagraphFont"/>
    <w:link w:val="FooterDocumentTopicAddressPhone"/>
    <w:rsid w:val="00706C31"/>
    <w:rPr>
      <w:color w:val="707371" w:themeColor="accent6"/>
      <w:sz w:val="16"/>
      <w:szCs w:val="14"/>
    </w:rPr>
  </w:style>
  <w:style w:type="character" w:customStyle="1" w:styleId="FooterHyperlinkChar">
    <w:name w:val="Footer Hyperlink Char"/>
    <w:basedOn w:val="DefaultParagraphFont"/>
    <w:link w:val="FooterHyperlink"/>
    <w:rsid w:val="00706C31"/>
    <w:rPr>
      <w:color w:val="003865" w:themeColor="accent1"/>
      <w:sz w:val="16"/>
      <w:szCs w:val="14"/>
      <w:u w:val="single"/>
    </w:rPr>
  </w:style>
  <w:style w:type="paragraph" w:customStyle="1" w:styleId="TOCH1">
    <w:name w:val="TOC H1"/>
    <w:basedOn w:val="Normal"/>
    <w:link w:val="TOCH1Char"/>
    <w:qFormat/>
    <w:rsid w:val="00264D41"/>
    <w:pPr>
      <w:spacing w:after="120"/>
    </w:pPr>
    <w:rPr>
      <w:b/>
      <w:bCs/>
      <w:color w:val="003865" w:themeColor="accent1"/>
      <w:sz w:val="24"/>
      <w:szCs w:val="28"/>
    </w:rPr>
  </w:style>
  <w:style w:type="paragraph" w:customStyle="1" w:styleId="TOCH1PageNumber">
    <w:name w:val="TOC H1 Page Number"/>
    <w:basedOn w:val="TOCH1"/>
    <w:link w:val="TOCH1PageNumberChar"/>
    <w:qFormat/>
    <w:rsid w:val="00264D41"/>
    <w:pPr>
      <w:tabs>
        <w:tab w:val="left" w:pos="1980"/>
        <w:tab w:val="left" w:leader="dot" w:pos="10170"/>
      </w:tabs>
      <w:jc w:val="right"/>
    </w:pPr>
  </w:style>
  <w:style w:type="table" w:styleId="TableGrid">
    <w:name w:val="Table Grid"/>
    <w:basedOn w:val="TableNormal"/>
    <w:uiPriority w:val="39"/>
    <w:rsid w:val="00332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CH1Char">
    <w:name w:val="TOC H1 Char"/>
    <w:basedOn w:val="DefaultParagraphFont"/>
    <w:link w:val="TOCH1"/>
    <w:rsid w:val="00264D41"/>
    <w:rPr>
      <w:b/>
      <w:bCs/>
      <w:color w:val="003865" w:themeColor="accent1"/>
      <w:sz w:val="24"/>
      <w:szCs w:val="28"/>
    </w:rPr>
  </w:style>
  <w:style w:type="character" w:customStyle="1" w:styleId="TOCH1PageNumberChar">
    <w:name w:val="TOC H1 Page Number Char"/>
    <w:basedOn w:val="TOCH1Char"/>
    <w:link w:val="TOCH1PageNumber"/>
    <w:rsid w:val="00264D41"/>
    <w:rPr>
      <w:b/>
      <w:bCs/>
      <w:color w:val="003865" w:themeColor="accent1"/>
      <w:sz w:val="24"/>
      <w:szCs w:val="28"/>
    </w:rPr>
  </w:style>
  <w:style w:type="paragraph" w:customStyle="1" w:styleId="TOCH2PageNumber">
    <w:name w:val="TOC H2 Page Number"/>
    <w:basedOn w:val="Normal"/>
    <w:link w:val="TOCH2PageNumberChar"/>
    <w:qFormat/>
    <w:rsid w:val="004F25BF"/>
    <w:pPr>
      <w:tabs>
        <w:tab w:val="left" w:leader="dot" w:pos="10170"/>
      </w:tabs>
      <w:jc w:val="right"/>
    </w:pPr>
    <w:rPr>
      <w:b/>
      <w:bCs/>
      <w:color w:val="000000" w:themeColor="text1"/>
      <w:szCs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64D41"/>
    <w:pPr>
      <w:spacing w:after="100"/>
      <w:ind w:left="220"/>
    </w:pPr>
  </w:style>
  <w:style w:type="paragraph" w:customStyle="1" w:styleId="TOCH3">
    <w:name w:val="TOC H3"/>
    <w:basedOn w:val="Normal"/>
    <w:link w:val="TOCH3Char"/>
    <w:autoRedefine/>
    <w:qFormat/>
    <w:rsid w:val="00E87664"/>
    <w:pPr>
      <w:ind w:left="27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248"/>
    <w:rPr>
      <w:rFonts w:ascii="Times New Roman" w:hAnsi="Times New Roman" w:cs="Times New Roman"/>
      <w:sz w:val="18"/>
    </w:rPr>
  </w:style>
  <w:style w:type="character" w:customStyle="1" w:styleId="TOCH2PageNumberChar">
    <w:name w:val="TOC H2 Page Number Char"/>
    <w:basedOn w:val="DefaultParagraphFont"/>
    <w:link w:val="TOCH2PageNumber"/>
    <w:rsid w:val="004F25BF"/>
    <w:rPr>
      <w:b/>
      <w:bCs/>
      <w:color w:val="000000" w:themeColor="text1"/>
      <w:sz w:val="24"/>
      <w:szCs w:val="28"/>
    </w:rPr>
  </w:style>
  <w:style w:type="paragraph" w:customStyle="1" w:styleId="TOCH3PageNumber">
    <w:name w:val="TOC H3 Page Number"/>
    <w:basedOn w:val="TOCH3"/>
    <w:link w:val="TOCH3PageNumberChar"/>
    <w:qFormat/>
    <w:rsid w:val="00264D41"/>
    <w:pPr>
      <w:jc w:val="right"/>
    </w:pPr>
  </w:style>
  <w:style w:type="paragraph" w:customStyle="1" w:styleId="PhotoCaptionOffPhoto">
    <w:name w:val="Photo Caption Off Photo"/>
    <w:basedOn w:val="PhotoCaption"/>
    <w:autoRedefine/>
    <w:qFormat/>
    <w:rsid w:val="00427F16"/>
    <w:pPr>
      <w:spacing w:after="0"/>
    </w:pPr>
    <w:rPr>
      <w:color w:val="707371" w:themeColor="accent6"/>
    </w:rPr>
  </w:style>
  <w:style w:type="character" w:customStyle="1" w:styleId="TOCH3Char">
    <w:name w:val="TOC H3 Char"/>
    <w:basedOn w:val="DefaultParagraphFont"/>
    <w:link w:val="TOCH3"/>
    <w:rsid w:val="00E87664"/>
  </w:style>
  <w:style w:type="character" w:customStyle="1" w:styleId="TOCH3PageNumberChar">
    <w:name w:val="TOC H3 Page Number Char"/>
    <w:basedOn w:val="TOCH3Char"/>
    <w:link w:val="TOCH3PageNumber"/>
    <w:rsid w:val="00264D41"/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700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0C8"/>
  </w:style>
  <w:style w:type="paragraph" w:styleId="Footer">
    <w:name w:val="footer"/>
    <w:basedOn w:val="Normal"/>
    <w:link w:val="FooterChar"/>
    <w:uiPriority w:val="99"/>
    <w:unhideWhenUsed/>
    <w:rsid w:val="00700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0C8"/>
  </w:style>
  <w:style w:type="character" w:customStyle="1" w:styleId="VEDPPageNumberChar">
    <w:name w:val="VEDP Page Number Char"/>
    <w:basedOn w:val="FooterDocumentTitleContactChar"/>
    <w:link w:val="VEDPPageNumber"/>
    <w:rsid w:val="00427F16"/>
    <w:rPr>
      <w:bCs w:val="0"/>
      <w:color w:val="000000" w:themeColor="text1"/>
      <w:sz w:val="16"/>
      <w:szCs w:val="14"/>
    </w:rPr>
  </w:style>
  <w:style w:type="character" w:styleId="PageNumber">
    <w:name w:val="page number"/>
    <w:basedOn w:val="DefaultParagraphFont"/>
    <w:uiPriority w:val="99"/>
    <w:semiHidden/>
    <w:unhideWhenUsed/>
    <w:rsid w:val="00B74E83"/>
  </w:style>
  <w:style w:type="paragraph" w:customStyle="1" w:styleId="FooterSecondLineAddressPhoneVEDPContact">
    <w:name w:val="Footer Second Line Address/Phone/VEDP Contact"/>
    <w:autoRedefine/>
    <w:qFormat/>
    <w:rsid w:val="00706C31"/>
    <w:pPr>
      <w:ind w:left="270"/>
    </w:pPr>
    <w:rPr>
      <w:color w:val="707371" w:themeColor="accent6"/>
      <w:sz w:val="16"/>
      <w:szCs w:val="14"/>
    </w:rPr>
  </w:style>
  <w:style w:type="paragraph" w:customStyle="1" w:styleId="TOCH2">
    <w:name w:val="TOC H2"/>
    <w:basedOn w:val="Normal"/>
    <w:next w:val="TOCH1"/>
    <w:autoRedefine/>
    <w:qFormat/>
    <w:rsid w:val="004F25BF"/>
    <w:rPr>
      <w:b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48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75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7642E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780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61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0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081"/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081"/>
    <w:rPr>
      <w:rFonts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30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9327">
                  <w:marLeft w:val="4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sadie@vedp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Intl\Research\Templates\VEDP_International%20Trade_Quick%20Report_updated.dotx" TargetMode="External"/></Relationships>
</file>

<file path=word/theme/theme1.xml><?xml version="1.0" encoding="utf-8"?>
<a:theme xmlns:a="http://schemas.openxmlformats.org/drawingml/2006/main" name="Office Theme">
  <a:themeElements>
    <a:clrScheme name="VEDP Brand Colors Final">
      <a:dk1>
        <a:srgbClr val="000000"/>
      </a:dk1>
      <a:lt1>
        <a:srgbClr val="FFFFFF"/>
      </a:lt1>
      <a:dk2>
        <a:srgbClr val="000000"/>
      </a:dk2>
      <a:lt2>
        <a:srgbClr val="FEFFFF"/>
      </a:lt2>
      <a:accent1>
        <a:srgbClr val="003865"/>
      </a:accent1>
      <a:accent2>
        <a:srgbClr val="007DBA"/>
      </a:accent2>
      <a:accent3>
        <a:srgbClr val="F2A900"/>
      </a:accent3>
      <a:accent4>
        <a:srgbClr val="00A7B5"/>
      </a:accent4>
      <a:accent5>
        <a:srgbClr val="582C83"/>
      </a:accent5>
      <a:accent6>
        <a:srgbClr val="707371"/>
      </a:accent6>
      <a:hlink>
        <a:srgbClr val="003865"/>
      </a:hlink>
      <a:folHlink>
        <a:srgbClr val="00386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VEDP_International Trade_Quick Report_updated</Template>
  <TotalTime>227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Emma</dc:creator>
  <cp:keywords/>
  <dc:description/>
  <cp:lastModifiedBy>Farmer, Emma</cp:lastModifiedBy>
  <cp:revision>6</cp:revision>
  <cp:lastPrinted>2020-02-04T18:08:00Z</cp:lastPrinted>
  <dcterms:created xsi:type="dcterms:W3CDTF">2023-04-03T17:42:00Z</dcterms:created>
  <dcterms:modified xsi:type="dcterms:W3CDTF">2023-04-06T15:55:00Z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d71c7137-2adb-4cd9-95e8-9ebaaf332bff</vt:lpwstr>
  </property>
</Properties>
</file>